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88F" w:rsidRPr="00407644" w:rsidRDefault="00F1288F">
      <w:pPr>
        <w:rPr>
          <w:rFonts w:ascii="Arial" w:hAnsi="Arial" w:cs="Arial"/>
        </w:rPr>
      </w:pPr>
    </w:p>
    <w:p w:rsidR="00E12453" w:rsidRDefault="00E12453" w:rsidP="00407644">
      <w:pPr>
        <w:pStyle w:val="Titre1"/>
        <w:shd w:val="clear" w:color="auto" w:fill="FFFFFF"/>
        <w:spacing w:before="0" w:beforeAutospacing="0" w:after="0" w:afterAutospacing="0" w:line="240" w:lineRule="atLeast"/>
        <w:jc w:val="center"/>
        <w:rPr>
          <w:rFonts w:ascii="Arial" w:hAnsi="Arial" w:cs="Arial"/>
          <w:b w:val="0"/>
          <w:bCs w:val="0"/>
          <w:color w:val="3C3733"/>
          <w:sz w:val="40"/>
          <w:szCs w:val="40"/>
          <w:bdr w:val="none" w:sz="0" w:space="0" w:color="auto" w:frame="1"/>
        </w:rPr>
      </w:pPr>
      <w:r w:rsidRPr="00684A54">
        <w:rPr>
          <w:rFonts w:ascii="Arial" w:hAnsi="Arial" w:cs="Arial"/>
          <w:b w:val="0"/>
          <w:bCs w:val="0"/>
          <w:color w:val="3C3733"/>
          <w:sz w:val="40"/>
          <w:szCs w:val="40"/>
          <w:bdr w:val="none" w:sz="0" w:space="0" w:color="auto" w:frame="1"/>
        </w:rPr>
        <w:t>Enquête SLS / OPS 2026 : n’oubliez pas de répondre !</w:t>
      </w:r>
    </w:p>
    <w:p w:rsidR="00684A54" w:rsidRPr="00684A54" w:rsidRDefault="00684A54" w:rsidP="00407644">
      <w:pPr>
        <w:pStyle w:val="Titre1"/>
        <w:shd w:val="clear" w:color="auto" w:fill="FFFFFF"/>
        <w:spacing w:before="0" w:beforeAutospacing="0" w:after="0" w:afterAutospacing="0" w:line="240" w:lineRule="atLeast"/>
        <w:jc w:val="center"/>
        <w:rPr>
          <w:rFonts w:ascii="Arial" w:hAnsi="Arial" w:cs="Arial"/>
          <w:b w:val="0"/>
          <w:bCs w:val="0"/>
          <w:color w:val="3C3733"/>
          <w:sz w:val="40"/>
          <w:szCs w:val="40"/>
        </w:rPr>
      </w:pPr>
    </w:p>
    <w:p w:rsidR="00E12453" w:rsidRPr="00407644" w:rsidRDefault="00E12453" w:rsidP="00684A54">
      <w:pPr>
        <w:shd w:val="clear" w:color="auto" w:fill="FFFFFF"/>
        <w:jc w:val="both"/>
        <w:rPr>
          <w:rFonts w:ascii="Arial" w:hAnsi="Arial" w:cs="Arial"/>
          <w:color w:val="212529"/>
          <w:sz w:val="24"/>
          <w:szCs w:val="24"/>
        </w:rPr>
      </w:pPr>
      <w:r w:rsidRPr="00407644">
        <w:rPr>
          <w:rStyle w:val="lev"/>
          <w:rFonts w:ascii="Arial" w:hAnsi="Arial" w:cs="Arial"/>
          <w:color w:val="212529"/>
        </w:rPr>
        <w:t>La loi oblige les bailleurs sociaux à réaliser auprès de leurs locataires une enquête sur leurs ressources et leur situation familiale. Cette année, en fonction de leur situation, les locataires concernés recevront soit l’enquête Supplément de Loyer de Solidarité (SLS), soit l’enquête Occupation du Parc Social (OPS). Ils pourront y répondre directement depuis leur espace client. </w:t>
      </w:r>
    </w:p>
    <w:p w:rsidR="00E12453" w:rsidRPr="00407644" w:rsidRDefault="00E12453" w:rsidP="00684A54">
      <w:pPr>
        <w:pStyle w:val="NormalWeb"/>
        <w:shd w:val="clear" w:color="auto" w:fill="FFFFFF"/>
        <w:spacing w:before="0" w:beforeAutospacing="0" w:after="0" w:afterAutospacing="0"/>
        <w:rPr>
          <w:rFonts w:ascii="Arial" w:hAnsi="Arial" w:cs="Arial"/>
          <w:color w:val="212529"/>
        </w:rPr>
      </w:pPr>
      <w:r w:rsidRPr="00407644">
        <w:rPr>
          <w:rStyle w:val="lev"/>
          <w:rFonts w:ascii="Arial" w:hAnsi="Arial" w:cs="Arial"/>
          <w:color w:val="82BE00"/>
        </w:rPr>
        <w:t>L’ENQUETE SLS, C’EST QUOI ? </w:t>
      </w:r>
    </w:p>
    <w:p w:rsidR="00E12453" w:rsidRPr="00407644" w:rsidRDefault="00E12453" w:rsidP="00684A54">
      <w:pPr>
        <w:pStyle w:val="NormalWeb"/>
        <w:shd w:val="clear" w:color="auto" w:fill="FFFFFF"/>
        <w:spacing w:before="0" w:beforeAutospacing="0"/>
        <w:jc w:val="both"/>
        <w:rPr>
          <w:rFonts w:ascii="Arial" w:hAnsi="Arial" w:cs="Arial"/>
          <w:color w:val="212529"/>
        </w:rPr>
      </w:pPr>
      <w:r w:rsidRPr="00407644">
        <w:rPr>
          <w:rFonts w:ascii="Arial" w:hAnsi="Arial" w:cs="Arial"/>
          <w:color w:val="212529"/>
        </w:rPr>
        <w:t>Lorsque les revenus des ménages dépassent d'au moins 20% les plafonds de ressources HLM, les ménages doivent s'acquitter d'un supplément de loyer de solidarité (SLS). Interrogés tous les ans, les locataires concernés, devront s’acquitter, après analyse de l’enquête, du SLS à partir de janvier 2026. </w:t>
      </w:r>
    </w:p>
    <w:p w:rsidR="00E12453" w:rsidRPr="00407644" w:rsidRDefault="00E12453" w:rsidP="00684A54">
      <w:pPr>
        <w:pStyle w:val="NormalWeb"/>
        <w:shd w:val="clear" w:color="auto" w:fill="FFFFFF"/>
        <w:spacing w:before="0" w:beforeAutospacing="0" w:after="0" w:afterAutospacing="0"/>
        <w:rPr>
          <w:rFonts w:ascii="Arial" w:hAnsi="Arial" w:cs="Arial"/>
          <w:color w:val="212529"/>
        </w:rPr>
      </w:pPr>
      <w:r w:rsidRPr="00407644">
        <w:rPr>
          <w:rStyle w:val="lev"/>
          <w:rFonts w:ascii="Arial" w:hAnsi="Arial" w:cs="Arial"/>
          <w:color w:val="82BE00"/>
        </w:rPr>
        <w:t>L’ENQUETE OPS, C’EST QUOI ? </w:t>
      </w:r>
    </w:p>
    <w:p w:rsidR="00E12453" w:rsidRPr="00407644" w:rsidRDefault="00E12453" w:rsidP="00684A54">
      <w:pPr>
        <w:pStyle w:val="NormalWeb"/>
        <w:shd w:val="clear" w:color="auto" w:fill="FFFFFF"/>
        <w:spacing w:before="0" w:beforeAutospacing="0"/>
        <w:jc w:val="both"/>
        <w:rPr>
          <w:rFonts w:ascii="Arial" w:hAnsi="Arial" w:cs="Arial"/>
          <w:color w:val="212529"/>
        </w:rPr>
      </w:pPr>
      <w:r w:rsidRPr="00407644">
        <w:rPr>
          <w:rFonts w:ascii="Arial" w:hAnsi="Arial" w:cs="Arial"/>
          <w:color w:val="212529"/>
        </w:rPr>
        <w:t>L’enquête OPS permet de collecter des informations à visée statistique destinées à être transmises à l'État (composition, ressources, âge des ménages…), afin d'alimenter un rapport national sur l'occupation du parc social et son évolution. Les locataires concernés sont enquêtés tous les deux ans.</w:t>
      </w:r>
    </w:p>
    <w:p w:rsidR="00E12453" w:rsidRPr="00407644" w:rsidRDefault="00DE41A6" w:rsidP="00684A54">
      <w:pPr>
        <w:pStyle w:val="NormalWeb"/>
        <w:shd w:val="clear" w:color="auto" w:fill="FFFFFF"/>
        <w:jc w:val="both"/>
        <w:rPr>
          <w:rFonts w:ascii="Arial" w:hAnsi="Arial" w:cs="Arial"/>
          <w:color w:val="212529"/>
        </w:rPr>
      </w:pPr>
      <w:r w:rsidRPr="00407644">
        <w:rPr>
          <w:rFonts w:ascii="Arial" w:hAnsi="Arial" w:cs="Arial"/>
          <w:color w:val="212529"/>
        </w:rPr>
        <w:t>Depuis le</w:t>
      </w:r>
      <w:r w:rsidR="00E12453" w:rsidRPr="00407644">
        <w:rPr>
          <w:rFonts w:ascii="Arial" w:hAnsi="Arial" w:cs="Arial"/>
          <w:color w:val="212529"/>
        </w:rPr>
        <w:t xml:space="preserve"> </w:t>
      </w:r>
      <w:r w:rsidRPr="00407644">
        <w:rPr>
          <w:rFonts w:ascii="Arial" w:hAnsi="Arial" w:cs="Arial"/>
          <w:color w:val="212529"/>
        </w:rPr>
        <w:t>26</w:t>
      </w:r>
      <w:r w:rsidR="00E12453" w:rsidRPr="00407644">
        <w:rPr>
          <w:rFonts w:ascii="Arial" w:hAnsi="Arial" w:cs="Arial"/>
          <w:color w:val="212529"/>
        </w:rPr>
        <w:t xml:space="preserve"> septembre 2025, les locataires </w:t>
      </w:r>
      <w:r w:rsidRPr="00407644">
        <w:rPr>
          <w:rFonts w:ascii="Arial" w:hAnsi="Arial" w:cs="Arial"/>
          <w:color w:val="212529"/>
        </w:rPr>
        <w:t xml:space="preserve">de la SACOVIV ont reçu un courrier pour choisir entre le format papier ou numérique. </w:t>
      </w:r>
    </w:p>
    <w:p w:rsidR="00E12453" w:rsidRPr="00407644" w:rsidRDefault="00E12453" w:rsidP="00E12453">
      <w:pPr>
        <w:pStyle w:val="text-align-center"/>
        <w:shd w:val="clear" w:color="auto" w:fill="FFFFFF"/>
        <w:jc w:val="center"/>
        <w:rPr>
          <w:rFonts w:ascii="Arial" w:hAnsi="Arial" w:cs="Arial"/>
          <w:color w:val="212529"/>
        </w:rPr>
      </w:pPr>
      <w:r w:rsidRPr="00407644">
        <w:rPr>
          <w:rStyle w:val="lev"/>
          <w:rFonts w:ascii="Arial" w:hAnsi="Arial" w:cs="Arial"/>
          <w:color w:val="D21910"/>
        </w:rPr>
        <w:t xml:space="preserve">La réponse à cette enquête est obligatoire avant le </w:t>
      </w:r>
      <w:r w:rsidR="00DE41A6" w:rsidRPr="00407644">
        <w:rPr>
          <w:rStyle w:val="lev"/>
          <w:rFonts w:ascii="Arial" w:hAnsi="Arial" w:cs="Arial"/>
          <w:color w:val="D21910"/>
        </w:rPr>
        <w:t>26</w:t>
      </w:r>
      <w:r w:rsidRPr="00407644">
        <w:rPr>
          <w:rStyle w:val="lev"/>
          <w:rFonts w:ascii="Arial" w:hAnsi="Arial" w:cs="Arial"/>
          <w:color w:val="D21910"/>
        </w:rPr>
        <w:t xml:space="preserve"> octobre 2025. </w:t>
      </w:r>
      <w:r w:rsidRPr="00407644">
        <w:rPr>
          <w:rFonts w:ascii="Arial" w:hAnsi="Arial" w:cs="Arial"/>
          <w:color w:val="212529"/>
        </w:rPr>
        <w:t> </w:t>
      </w:r>
    </w:p>
    <w:p w:rsidR="00E12453" w:rsidRPr="00407644" w:rsidRDefault="00E12453" w:rsidP="00684A54">
      <w:pPr>
        <w:pStyle w:val="NormalWeb"/>
        <w:shd w:val="clear" w:color="auto" w:fill="FFFFFF"/>
        <w:spacing w:before="0" w:beforeAutospacing="0" w:after="0" w:afterAutospacing="0"/>
        <w:jc w:val="both"/>
        <w:rPr>
          <w:rFonts w:ascii="Arial" w:hAnsi="Arial" w:cs="Arial"/>
          <w:color w:val="212529"/>
        </w:rPr>
      </w:pPr>
      <w:r w:rsidRPr="00407644">
        <w:rPr>
          <w:rFonts w:ascii="Arial" w:hAnsi="Arial" w:cs="Arial"/>
          <w:color w:val="212529"/>
        </w:rPr>
        <w:t>En cas d’absence de réponse ou de réponse incomplète :</w:t>
      </w:r>
    </w:p>
    <w:p w:rsidR="00E12453" w:rsidRPr="00407644" w:rsidRDefault="00E12453" w:rsidP="00684A54">
      <w:pPr>
        <w:numPr>
          <w:ilvl w:val="0"/>
          <w:numId w:val="1"/>
        </w:numPr>
        <w:shd w:val="clear" w:color="auto" w:fill="FFFFFF"/>
        <w:spacing w:after="100" w:afterAutospacing="1" w:line="240" w:lineRule="auto"/>
        <w:jc w:val="both"/>
        <w:rPr>
          <w:rFonts w:ascii="Arial" w:hAnsi="Arial" w:cs="Arial"/>
          <w:color w:val="212529"/>
        </w:rPr>
      </w:pPr>
      <w:r w:rsidRPr="00407644">
        <w:rPr>
          <w:rStyle w:val="Accentuation"/>
          <w:rFonts w:ascii="Arial" w:hAnsi="Arial" w:cs="Arial"/>
          <w:color w:val="212529"/>
        </w:rPr>
        <w:t>pour les locataires enquêtes au SLS</w:t>
      </w:r>
      <w:r w:rsidRPr="00407644">
        <w:rPr>
          <w:rFonts w:ascii="Arial" w:hAnsi="Arial" w:cs="Arial"/>
          <w:color w:val="212529"/>
        </w:rPr>
        <w:t xml:space="preserve"> : un montant forfaitaire maximal de supplément de loyer de solidarité (jusqu'à 4 000 € par mois), une indemnité de </w:t>
      </w:r>
      <w:r w:rsidR="00DE41A6" w:rsidRPr="00407644">
        <w:rPr>
          <w:rFonts w:ascii="Arial" w:hAnsi="Arial" w:cs="Arial"/>
          <w:color w:val="212529"/>
        </w:rPr>
        <w:t>7.62</w:t>
      </w:r>
      <w:r w:rsidRPr="00407644">
        <w:rPr>
          <w:rFonts w:ascii="Arial" w:hAnsi="Arial" w:cs="Arial"/>
          <w:color w:val="212529"/>
        </w:rPr>
        <w:t xml:space="preserve"> € pour frais de dossier</w:t>
      </w:r>
      <w:r w:rsidR="00DE41A6" w:rsidRPr="00407644">
        <w:rPr>
          <w:rFonts w:ascii="Arial" w:hAnsi="Arial" w:cs="Arial"/>
          <w:color w:val="212529"/>
        </w:rPr>
        <w:t>.</w:t>
      </w:r>
    </w:p>
    <w:p w:rsidR="00E12453" w:rsidRPr="00407644" w:rsidRDefault="00E12453" w:rsidP="00684A54">
      <w:pPr>
        <w:numPr>
          <w:ilvl w:val="0"/>
          <w:numId w:val="1"/>
        </w:numPr>
        <w:shd w:val="clear" w:color="auto" w:fill="FFFFFF"/>
        <w:spacing w:after="100" w:afterAutospacing="1" w:line="240" w:lineRule="auto"/>
        <w:jc w:val="both"/>
        <w:rPr>
          <w:rFonts w:ascii="Arial" w:hAnsi="Arial" w:cs="Arial"/>
          <w:color w:val="212529"/>
        </w:rPr>
      </w:pPr>
      <w:r w:rsidRPr="00407644">
        <w:rPr>
          <w:rStyle w:val="Accentuation"/>
          <w:rFonts w:ascii="Arial" w:hAnsi="Arial" w:cs="Arial"/>
          <w:color w:val="212529"/>
        </w:rPr>
        <w:t>pour les locataires enquêtés à l’OPS</w:t>
      </w:r>
      <w:r w:rsidRPr="00407644">
        <w:rPr>
          <w:rFonts w:ascii="Arial" w:hAnsi="Arial" w:cs="Arial"/>
          <w:color w:val="212529"/>
        </w:rPr>
        <w:t> : une pénalité de 7,62 €, majorée de 7,62 € par mois entier de retard.</w:t>
      </w:r>
    </w:p>
    <w:p w:rsidR="00E12453" w:rsidRPr="00407644" w:rsidRDefault="00E12453" w:rsidP="00DE41A6">
      <w:pPr>
        <w:pStyle w:val="Titre4"/>
        <w:shd w:val="clear" w:color="auto" w:fill="FFFFFF"/>
        <w:spacing w:before="0"/>
        <w:rPr>
          <w:rFonts w:ascii="Arial" w:hAnsi="Arial" w:cs="Arial"/>
          <w:color w:val="212529"/>
        </w:rPr>
      </w:pPr>
      <w:r w:rsidRPr="00407644">
        <w:rPr>
          <w:rFonts w:ascii="Arial" w:hAnsi="Arial" w:cs="Arial"/>
          <w:color w:val="212529"/>
        </w:rPr>
        <w:br/>
      </w:r>
      <w:r w:rsidRPr="00407644">
        <w:rPr>
          <w:rStyle w:val="lev"/>
          <w:rFonts w:ascii="Arial" w:hAnsi="Arial" w:cs="Arial"/>
          <w:b w:val="0"/>
          <w:bCs w:val="0"/>
          <w:color w:val="82BE00"/>
        </w:rPr>
        <w:t>COMMENT RÉPONDRE A L’ENQUÊTE ? </w:t>
      </w:r>
    </w:p>
    <w:p w:rsidR="00E12453" w:rsidRPr="00407644" w:rsidRDefault="00E12453" w:rsidP="00DE41A6">
      <w:pPr>
        <w:pStyle w:val="NormalWeb"/>
        <w:shd w:val="clear" w:color="auto" w:fill="FFFFFF"/>
        <w:spacing w:before="0" w:beforeAutospacing="0"/>
        <w:rPr>
          <w:rFonts w:ascii="Arial" w:hAnsi="Arial" w:cs="Arial"/>
          <w:color w:val="212529"/>
        </w:rPr>
      </w:pPr>
      <w:r w:rsidRPr="00407644">
        <w:rPr>
          <w:rFonts w:ascii="Arial" w:hAnsi="Arial" w:cs="Arial"/>
          <w:color w:val="212529"/>
        </w:rPr>
        <w:t>Vous pouvez répondre : </w:t>
      </w:r>
    </w:p>
    <w:p w:rsidR="00E12453" w:rsidRPr="00407644" w:rsidRDefault="00E12453" w:rsidP="00DE41A6">
      <w:pPr>
        <w:pStyle w:val="NormalWeb"/>
        <w:shd w:val="clear" w:color="auto" w:fill="FFFFFF"/>
        <w:rPr>
          <w:rFonts w:ascii="Arial" w:hAnsi="Arial" w:cs="Arial"/>
          <w:color w:val="212529"/>
        </w:rPr>
      </w:pPr>
      <w:r w:rsidRPr="00407644">
        <w:rPr>
          <w:rStyle w:val="lev"/>
          <w:rFonts w:ascii="Arial" w:hAnsi="Arial" w:cs="Arial"/>
          <w:color w:val="EA5B0C"/>
        </w:rPr>
        <w:t>En ligne depuis </w:t>
      </w:r>
      <w:hyperlink r:id="rId5" w:tgtFrame="_blank" w:history="1">
        <w:r w:rsidR="00DE41A6" w:rsidRPr="00407644">
          <w:rPr>
            <w:rStyle w:val="Lienhypertexte"/>
            <w:rFonts w:ascii="Arial" w:hAnsi="Arial" w:cs="Arial"/>
            <w:b/>
            <w:bCs/>
            <w:color w:val="E05200"/>
          </w:rPr>
          <w:t>le lien reçu</w:t>
        </w:r>
        <w:r w:rsidR="00DE41A6" w:rsidRPr="00684A54">
          <w:rPr>
            <w:rStyle w:val="Lienhypertexte"/>
            <w:rFonts w:ascii="Arial" w:hAnsi="Arial" w:cs="Arial"/>
            <w:b/>
            <w:bCs/>
            <w:color w:val="E05200"/>
            <w:u w:val="none"/>
          </w:rPr>
          <w:t xml:space="preserve"> par courrier</w:t>
        </w:r>
        <w:r w:rsidRPr="00684A54">
          <w:rPr>
            <w:rStyle w:val="Lienhypertexte"/>
            <w:rFonts w:ascii="Arial" w:hAnsi="Arial" w:cs="Arial"/>
            <w:b/>
            <w:bCs/>
            <w:color w:val="E05200"/>
            <w:u w:val="none"/>
          </w:rPr>
          <w:t> </w:t>
        </w:r>
      </w:hyperlink>
      <w:r w:rsidRPr="00407644">
        <w:rPr>
          <w:rStyle w:val="lev"/>
          <w:rFonts w:ascii="Arial" w:hAnsi="Arial" w:cs="Arial"/>
          <w:color w:val="EA5B0C"/>
        </w:rPr>
        <w:t>:</w:t>
      </w:r>
      <w:r w:rsidRPr="00407644">
        <w:rPr>
          <w:rFonts w:ascii="Arial" w:hAnsi="Arial" w:cs="Arial"/>
          <w:color w:val="212529"/>
        </w:rPr>
        <w:br/>
        <w:t>Il vous suffira de cliquer sur le bouton prévu à cet effet, dès la page d’accueil. Quelques minutes vous suffiront pour compléter le questionnaire et transmettre votre avis d’impôt établi en 2025 sur les revenus 2024, ainsi que tout autre document permettant de justifier un changement de situation (mariage, divorce, naissance…) Ce mode de réponse est gratuit, et plus sécurisé. </w:t>
      </w:r>
    </w:p>
    <w:p w:rsidR="00E12453" w:rsidRDefault="00E12453" w:rsidP="00407644">
      <w:pPr>
        <w:pStyle w:val="NormalWeb"/>
        <w:shd w:val="clear" w:color="auto" w:fill="FFFFFF"/>
        <w:spacing w:before="0" w:beforeAutospacing="0" w:after="0" w:afterAutospacing="0"/>
        <w:rPr>
          <w:rFonts w:ascii="Arial" w:hAnsi="Arial" w:cs="Arial"/>
          <w:color w:val="212529"/>
        </w:rPr>
      </w:pPr>
      <w:r w:rsidRPr="00407644">
        <w:rPr>
          <w:rStyle w:val="lev"/>
          <w:rFonts w:ascii="Arial" w:hAnsi="Arial" w:cs="Arial"/>
          <w:color w:val="EA5B0C"/>
        </w:rPr>
        <w:t>...ou par courrier postal </w:t>
      </w:r>
      <w:r w:rsidRPr="00407644">
        <w:rPr>
          <w:rFonts w:ascii="Arial" w:hAnsi="Arial" w:cs="Arial"/>
          <w:color w:val="212529"/>
        </w:rPr>
        <w:br/>
        <w:t xml:space="preserve">Il vous suffit de remplir le questionnaire au format papier et de nous le retourner </w:t>
      </w:r>
      <w:r w:rsidR="00407644">
        <w:rPr>
          <w:rFonts w:ascii="Arial" w:hAnsi="Arial" w:cs="Arial"/>
          <w:color w:val="212529"/>
        </w:rPr>
        <w:t xml:space="preserve">(à affranchir) </w:t>
      </w:r>
      <w:r w:rsidRPr="00407644">
        <w:rPr>
          <w:rFonts w:ascii="Arial" w:hAnsi="Arial" w:cs="Arial"/>
          <w:color w:val="212529"/>
        </w:rPr>
        <w:t xml:space="preserve">par voie postale dans l’enveloppe </w:t>
      </w:r>
      <w:proofErr w:type="spellStart"/>
      <w:r w:rsidRPr="00407644">
        <w:rPr>
          <w:rFonts w:ascii="Arial" w:hAnsi="Arial" w:cs="Arial"/>
          <w:color w:val="212529"/>
        </w:rPr>
        <w:t>pré-remplie</w:t>
      </w:r>
      <w:proofErr w:type="spellEnd"/>
      <w:r w:rsidRPr="00407644">
        <w:rPr>
          <w:rFonts w:ascii="Arial" w:hAnsi="Arial" w:cs="Arial"/>
          <w:color w:val="212529"/>
        </w:rPr>
        <w:t>, prévue à cet effet, accompagné de votre avis d’impôt établi en 2025 sur les revenus 2024, ainsi que tout autre document permettant de justifier un changement de situation (mariage, divorce, naissance…)</w:t>
      </w:r>
    </w:p>
    <w:p w:rsidR="00684A54" w:rsidRPr="00407644" w:rsidRDefault="00684A54" w:rsidP="00407644">
      <w:pPr>
        <w:pStyle w:val="NormalWeb"/>
        <w:shd w:val="clear" w:color="auto" w:fill="FFFFFF"/>
        <w:spacing w:before="0" w:beforeAutospacing="0" w:after="0" w:afterAutospacing="0"/>
        <w:rPr>
          <w:rFonts w:ascii="Arial" w:hAnsi="Arial" w:cs="Arial"/>
          <w:color w:val="212529"/>
        </w:rPr>
      </w:pPr>
    </w:p>
    <w:p w:rsidR="00E12453" w:rsidRPr="00407644" w:rsidRDefault="00DE41A6" w:rsidP="00407644">
      <w:pPr>
        <w:numPr>
          <w:ilvl w:val="0"/>
          <w:numId w:val="3"/>
        </w:numPr>
        <w:shd w:val="clear" w:color="auto" w:fill="FFFFFF"/>
        <w:spacing w:after="0" w:line="240" w:lineRule="auto"/>
        <w:rPr>
          <w:rFonts w:ascii="Arial" w:hAnsi="Arial" w:cs="Arial"/>
          <w:color w:val="212529"/>
        </w:rPr>
      </w:pPr>
      <w:r w:rsidRPr="00407644">
        <w:rPr>
          <w:rFonts w:ascii="Arial" w:hAnsi="Arial" w:cs="Arial"/>
          <w:color w:val="212529"/>
        </w:rPr>
        <w:t>SACOVIV -Centre de traitement des enquêtes – BP 30269– 44159 ANCENIS CEDEX</w:t>
      </w:r>
    </w:p>
    <w:p w:rsidR="00E12453" w:rsidRPr="00407644" w:rsidRDefault="00E12453" w:rsidP="00407644">
      <w:pPr>
        <w:shd w:val="clear" w:color="auto" w:fill="FFFFFF"/>
        <w:spacing w:after="0"/>
        <w:jc w:val="center"/>
        <w:rPr>
          <w:rFonts w:ascii="Arial" w:hAnsi="Arial" w:cs="Arial"/>
          <w:color w:val="212529"/>
        </w:rPr>
      </w:pPr>
      <w:r w:rsidRPr="00407644">
        <w:rPr>
          <w:rFonts w:ascii="Arial" w:hAnsi="Arial" w:cs="Arial"/>
          <w:color w:val="212529"/>
        </w:rPr>
        <w:t>En cas de besoin (demande d’informations, difficulté à r</w:t>
      </w:r>
      <w:bookmarkStart w:id="0" w:name="_GoBack"/>
      <w:bookmarkEnd w:id="0"/>
      <w:r w:rsidRPr="00407644">
        <w:rPr>
          <w:rFonts w:ascii="Arial" w:hAnsi="Arial" w:cs="Arial"/>
          <w:color w:val="212529"/>
        </w:rPr>
        <w:t xml:space="preserve">emplir l’enquête, difficulté de connexion à l’espace client), vous pouvez </w:t>
      </w:r>
      <w:r w:rsidR="00DE41A6" w:rsidRPr="00407644">
        <w:rPr>
          <w:rFonts w:ascii="Arial" w:hAnsi="Arial" w:cs="Arial"/>
          <w:color w:val="212529"/>
        </w:rPr>
        <w:t xml:space="preserve">nous </w:t>
      </w:r>
      <w:r w:rsidRPr="00407644">
        <w:rPr>
          <w:rFonts w:ascii="Arial" w:hAnsi="Arial" w:cs="Arial"/>
          <w:color w:val="212529"/>
        </w:rPr>
        <w:t xml:space="preserve">appeler </w:t>
      </w:r>
      <w:r w:rsidR="00DE41A6" w:rsidRPr="00407644">
        <w:rPr>
          <w:rFonts w:ascii="Arial" w:hAnsi="Arial" w:cs="Arial"/>
          <w:color w:val="212529"/>
        </w:rPr>
        <w:t>au 04.72.21.19.00</w:t>
      </w:r>
      <w:r w:rsidRPr="00407644">
        <w:rPr>
          <w:rFonts w:ascii="Arial" w:hAnsi="Arial" w:cs="Arial"/>
          <w:color w:val="212529"/>
        </w:rPr>
        <w:t xml:space="preserve">, du lundi au vendredi de </w:t>
      </w:r>
      <w:r w:rsidR="00DE41A6" w:rsidRPr="00407644">
        <w:rPr>
          <w:rFonts w:ascii="Arial" w:hAnsi="Arial" w:cs="Arial"/>
          <w:color w:val="212529"/>
        </w:rPr>
        <w:t>9</w:t>
      </w:r>
      <w:r w:rsidRPr="00407644">
        <w:rPr>
          <w:rFonts w:ascii="Arial" w:hAnsi="Arial" w:cs="Arial"/>
          <w:color w:val="212529"/>
          <w:vertAlign w:val="superscript"/>
        </w:rPr>
        <w:t>h</w:t>
      </w:r>
      <w:r w:rsidRPr="00407644">
        <w:rPr>
          <w:rFonts w:ascii="Arial" w:hAnsi="Arial" w:cs="Arial"/>
          <w:color w:val="212529"/>
        </w:rPr>
        <w:t xml:space="preserve"> à </w:t>
      </w:r>
      <w:r w:rsidR="00DE41A6" w:rsidRPr="00407644">
        <w:rPr>
          <w:rFonts w:ascii="Arial" w:hAnsi="Arial" w:cs="Arial"/>
          <w:color w:val="212529"/>
        </w:rPr>
        <w:t>12</w:t>
      </w:r>
      <w:r w:rsidR="00DE41A6" w:rsidRPr="00407644">
        <w:rPr>
          <w:rFonts w:ascii="Arial" w:hAnsi="Arial" w:cs="Arial"/>
          <w:color w:val="212529"/>
          <w:vertAlign w:val="superscript"/>
        </w:rPr>
        <w:t>h</w:t>
      </w:r>
      <w:r w:rsidR="00DE41A6" w:rsidRPr="00407644">
        <w:rPr>
          <w:rFonts w:ascii="Arial" w:hAnsi="Arial" w:cs="Arial"/>
          <w:color w:val="212529"/>
        </w:rPr>
        <w:t xml:space="preserve"> et de 14</w:t>
      </w:r>
      <w:r w:rsidR="00DE41A6" w:rsidRPr="00407644">
        <w:rPr>
          <w:rFonts w:ascii="Arial" w:hAnsi="Arial" w:cs="Arial"/>
          <w:color w:val="212529"/>
          <w:vertAlign w:val="superscript"/>
        </w:rPr>
        <w:t>h</w:t>
      </w:r>
      <w:r w:rsidR="00DE41A6" w:rsidRPr="00407644">
        <w:rPr>
          <w:rFonts w:ascii="Arial" w:hAnsi="Arial" w:cs="Arial"/>
          <w:color w:val="212529"/>
        </w:rPr>
        <w:t xml:space="preserve"> à 17</w:t>
      </w:r>
      <w:r w:rsidR="00DE41A6" w:rsidRPr="00407644">
        <w:rPr>
          <w:rFonts w:ascii="Arial" w:hAnsi="Arial" w:cs="Arial"/>
          <w:color w:val="212529"/>
          <w:vertAlign w:val="superscript"/>
        </w:rPr>
        <w:t>h</w:t>
      </w:r>
      <w:r w:rsidR="00DE41A6" w:rsidRPr="00407644">
        <w:rPr>
          <w:rFonts w:ascii="Arial" w:hAnsi="Arial" w:cs="Arial"/>
          <w:color w:val="212529"/>
        </w:rPr>
        <w:t>.</w:t>
      </w:r>
      <w:r w:rsidRPr="00407644">
        <w:rPr>
          <w:rFonts w:ascii="Arial" w:hAnsi="Arial" w:cs="Arial"/>
          <w:color w:val="212529"/>
        </w:rPr>
        <w:t xml:space="preserve"> </w:t>
      </w:r>
    </w:p>
    <w:sectPr w:rsidR="00E12453" w:rsidRPr="00407644" w:rsidSect="00407644">
      <w:pgSz w:w="11906" w:h="16838"/>
      <w:pgMar w:top="851"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935CF"/>
    <w:multiLevelType w:val="multilevel"/>
    <w:tmpl w:val="13C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A23B2"/>
    <w:multiLevelType w:val="multilevel"/>
    <w:tmpl w:val="589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053D1"/>
    <w:multiLevelType w:val="multilevel"/>
    <w:tmpl w:val="960A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8F"/>
    <w:rsid w:val="002958DC"/>
    <w:rsid w:val="00407644"/>
    <w:rsid w:val="00684A54"/>
    <w:rsid w:val="00DE41A6"/>
    <w:rsid w:val="00E12453"/>
    <w:rsid w:val="00F128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381A"/>
  <w15:chartTrackingRefBased/>
  <w15:docId w15:val="{B58C74AB-A070-4BD0-9A80-996DD906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F12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E124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288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F128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1288F"/>
    <w:rPr>
      <w:b/>
      <w:bCs/>
    </w:rPr>
  </w:style>
  <w:style w:type="character" w:styleId="Lienhypertexte">
    <w:name w:val="Hyperlink"/>
    <w:basedOn w:val="Policepardfaut"/>
    <w:uiPriority w:val="99"/>
    <w:semiHidden/>
    <w:unhideWhenUsed/>
    <w:rsid w:val="00F1288F"/>
    <w:rPr>
      <w:color w:val="0000FF"/>
      <w:u w:val="single"/>
    </w:rPr>
  </w:style>
  <w:style w:type="paragraph" w:styleId="PrformatHTML">
    <w:name w:val="HTML Preformatted"/>
    <w:basedOn w:val="Normal"/>
    <w:link w:val="PrformatHTMLCar"/>
    <w:uiPriority w:val="99"/>
    <w:semiHidden/>
    <w:unhideWhenUsed/>
    <w:rsid w:val="00F12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1288F"/>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semiHidden/>
    <w:rsid w:val="00E12453"/>
    <w:rPr>
      <w:rFonts w:asciiTheme="majorHAnsi" w:eastAsiaTheme="majorEastAsia" w:hAnsiTheme="majorHAnsi" w:cstheme="majorBidi"/>
      <w:i/>
      <w:iCs/>
      <w:color w:val="2F5496" w:themeColor="accent1" w:themeShade="BF"/>
    </w:rPr>
  </w:style>
  <w:style w:type="paragraph" w:customStyle="1" w:styleId="text-align-center">
    <w:name w:val="text-align-center"/>
    <w:basedOn w:val="Normal"/>
    <w:rsid w:val="00E124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1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8701">
      <w:bodyDiv w:val="1"/>
      <w:marLeft w:val="0"/>
      <w:marRight w:val="0"/>
      <w:marTop w:val="0"/>
      <w:marBottom w:val="0"/>
      <w:divBdr>
        <w:top w:val="none" w:sz="0" w:space="0" w:color="auto"/>
        <w:left w:val="none" w:sz="0" w:space="0" w:color="auto"/>
        <w:bottom w:val="none" w:sz="0" w:space="0" w:color="auto"/>
        <w:right w:val="none" w:sz="0" w:space="0" w:color="auto"/>
      </w:divBdr>
      <w:divsChild>
        <w:div w:id="479343712">
          <w:marLeft w:val="0"/>
          <w:marRight w:val="0"/>
          <w:marTop w:val="75"/>
          <w:marBottom w:val="0"/>
          <w:divBdr>
            <w:top w:val="none" w:sz="0" w:space="0" w:color="auto"/>
            <w:left w:val="none" w:sz="0" w:space="0" w:color="auto"/>
            <w:bottom w:val="none" w:sz="0" w:space="0" w:color="auto"/>
            <w:right w:val="none" w:sz="0" w:space="0" w:color="auto"/>
          </w:divBdr>
        </w:div>
        <w:div w:id="2047751459">
          <w:marLeft w:val="0"/>
          <w:marRight w:val="0"/>
          <w:marTop w:val="0"/>
          <w:marBottom w:val="0"/>
          <w:divBdr>
            <w:top w:val="none" w:sz="0" w:space="0" w:color="auto"/>
            <w:left w:val="none" w:sz="0" w:space="0" w:color="auto"/>
            <w:bottom w:val="none" w:sz="0" w:space="0" w:color="auto"/>
            <w:right w:val="none" w:sz="0" w:space="0" w:color="auto"/>
          </w:divBdr>
          <w:divsChild>
            <w:div w:id="958805799">
              <w:marLeft w:val="0"/>
              <w:marRight w:val="0"/>
              <w:marTop w:val="0"/>
              <w:marBottom w:val="0"/>
              <w:divBdr>
                <w:top w:val="none" w:sz="0" w:space="0" w:color="auto"/>
                <w:left w:val="none" w:sz="0" w:space="0" w:color="auto"/>
                <w:bottom w:val="none" w:sz="0" w:space="0" w:color="auto"/>
                <w:right w:val="none" w:sz="0" w:space="0" w:color="auto"/>
              </w:divBdr>
              <w:divsChild>
                <w:div w:id="1635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6319">
      <w:bodyDiv w:val="1"/>
      <w:marLeft w:val="0"/>
      <w:marRight w:val="0"/>
      <w:marTop w:val="0"/>
      <w:marBottom w:val="0"/>
      <w:divBdr>
        <w:top w:val="none" w:sz="0" w:space="0" w:color="auto"/>
        <w:left w:val="none" w:sz="0" w:space="0" w:color="auto"/>
        <w:bottom w:val="none" w:sz="0" w:space="0" w:color="auto"/>
        <w:right w:val="none" w:sz="0" w:space="0" w:color="auto"/>
      </w:divBdr>
      <w:divsChild>
        <w:div w:id="27479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aceclient.icfhabitat.fr/authentication/logi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SACVL</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Wilfrid AMOUNY</dc:creator>
  <cp:keywords/>
  <dc:description/>
  <cp:lastModifiedBy>Wilfrid AMOUNY</cp:lastModifiedBy>
  <cp:revision>2</cp:revision>
  <cp:lastPrinted>2025-10-03T07:46:00Z</cp:lastPrinted>
  <dcterms:created xsi:type="dcterms:W3CDTF">2025-10-03T07:35:00Z</dcterms:created>
  <dcterms:modified xsi:type="dcterms:W3CDTF">2025-10-03T08:45:00Z</dcterms:modified>
</cp:coreProperties>
</file>